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3719" w14:textId="73EC468F" w:rsidR="00E15E54" w:rsidRPr="009A598B" w:rsidRDefault="00E15E54" w:rsidP="00E15E54">
      <w:pPr>
        <w:rPr>
          <w:b/>
          <w:bCs/>
          <w:color w:val="4472C4" w:themeColor="accent1"/>
          <w:sz w:val="36"/>
          <w:szCs w:val="36"/>
        </w:rPr>
      </w:pPr>
      <w:r w:rsidRPr="009A598B">
        <w:rPr>
          <w:b/>
          <w:bCs/>
          <w:color w:val="4472C4" w:themeColor="accent1"/>
          <w:sz w:val="36"/>
          <w:szCs w:val="36"/>
        </w:rPr>
        <w:t>Asutaja</w:t>
      </w:r>
      <w:r>
        <w:rPr>
          <w:b/>
          <w:bCs/>
          <w:color w:val="4472C4" w:themeColor="accent1"/>
          <w:sz w:val="36"/>
          <w:szCs w:val="36"/>
        </w:rPr>
        <w:t>te</w:t>
      </w:r>
      <w:r w:rsidRPr="009A598B">
        <w:rPr>
          <w:b/>
          <w:bCs/>
          <w:color w:val="4472C4" w:themeColor="accent1"/>
          <w:sz w:val="36"/>
          <w:szCs w:val="36"/>
        </w:rPr>
        <w:t xml:space="preserve"> ootused Sihtasutusele </w:t>
      </w:r>
      <w:r>
        <w:rPr>
          <w:b/>
          <w:bCs/>
          <w:color w:val="4472C4" w:themeColor="accent1"/>
          <w:sz w:val="36"/>
          <w:szCs w:val="36"/>
        </w:rPr>
        <w:t>Tartu Kunstimuuseum</w:t>
      </w:r>
    </w:p>
    <w:p w14:paraId="0E9B78F3" w14:textId="77777777" w:rsidR="00E15E54" w:rsidRPr="009A598B" w:rsidRDefault="00E15E54" w:rsidP="00E15E54">
      <w:pPr>
        <w:jc w:val="both"/>
      </w:pPr>
    </w:p>
    <w:p w14:paraId="7D7BC4F6" w14:textId="77777777" w:rsidR="00E15E54" w:rsidRPr="009A598B" w:rsidRDefault="00E15E54" w:rsidP="00E15E54">
      <w:pPr>
        <w:pStyle w:val="ListParagraph"/>
        <w:numPr>
          <w:ilvl w:val="0"/>
          <w:numId w:val="1"/>
        </w:numPr>
      </w:pPr>
      <w:r w:rsidRPr="009A598B">
        <w:rPr>
          <w:b/>
          <w:bCs/>
          <w:color w:val="4472C4" w:themeColor="accent1"/>
        </w:rPr>
        <w:t>Sissejuhatus</w:t>
      </w:r>
    </w:p>
    <w:p w14:paraId="10400489" w14:textId="12D16D4B" w:rsidR="00E15E54" w:rsidRDefault="00E15E54" w:rsidP="00E15E54">
      <w:pPr>
        <w:jc w:val="both"/>
      </w:pPr>
      <w:r w:rsidRPr="00B63071">
        <w:t xml:space="preserve">Riigi kui asutaja ootused sihtasutusele tulenevad strateegiast „Eesti 2035“, „Kultuuri arengukavast 2021–2030“, Rahvusvahelise Muuseumide Nõukogu ICOM </w:t>
      </w:r>
      <w:r w:rsidR="007B1AEE">
        <w:t xml:space="preserve">muuseumide </w:t>
      </w:r>
      <w:r w:rsidRPr="00B63071">
        <w:t>eetikakoodeksist, muuseumiseadusest ning on kooskõlas sihtasutuse põhikirjaga.</w:t>
      </w:r>
    </w:p>
    <w:p w14:paraId="02FAB64B" w14:textId="3B5A5609" w:rsidR="00E15E54" w:rsidRPr="002F5C5F" w:rsidRDefault="00E15E54" w:rsidP="00E15E54">
      <w:pPr>
        <w:jc w:val="both"/>
      </w:pPr>
      <w:r w:rsidRPr="00D41791">
        <w:t xml:space="preserve">Tartu linna kui asutaja ootused </w:t>
      </w:r>
      <w:r w:rsidR="006C7962" w:rsidRPr="00D41791">
        <w:t>sihtasutusele tulenevad strateegiast „Tartu linna arengustrateegia 2030“ ja  strateegiast „Tartu kultuuristrateegia 2030“.</w:t>
      </w:r>
    </w:p>
    <w:p w14:paraId="67300966" w14:textId="0D2EE909" w:rsidR="00E15E54" w:rsidRPr="00335622" w:rsidRDefault="00E15E54" w:rsidP="00E15E54">
      <w:pPr>
        <w:jc w:val="both"/>
      </w:pPr>
      <w:r w:rsidRPr="002F5C5F">
        <w:t xml:space="preserve">Eesti Vabariik, asutajaõiguste teostajana Kultuuriministeerium, ning </w:t>
      </w:r>
      <w:r>
        <w:t>Tartu linn</w:t>
      </w:r>
      <w:r w:rsidRPr="002F5C5F">
        <w:t>, seavad sihtasutusele kolm peamist eesmärki:</w:t>
      </w:r>
      <w:r w:rsidRPr="00335622">
        <w:t xml:space="preserve"> </w:t>
      </w:r>
    </w:p>
    <w:p w14:paraId="38E58A10" w14:textId="77777777" w:rsidR="00E15E54" w:rsidRPr="00B63071" w:rsidRDefault="00E15E54" w:rsidP="00E15E54">
      <w:pPr>
        <w:pStyle w:val="ListParagraph"/>
        <w:numPr>
          <w:ilvl w:val="0"/>
          <w:numId w:val="2"/>
        </w:numPr>
        <w:jc w:val="both"/>
      </w:pPr>
      <w:r w:rsidRPr="00B63071">
        <w:t>tagada riigile kuuluva muuseumikogu pikaajaline säilimine ja arendamine;</w:t>
      </w:r>
    </w:p>
    <w:p w14:paraId="58EE69E4" w14:textId="77777777" w:rsidR="00E15E54" w:rsidRPr="00B63071" w:rsidRDefault="00E15E54" w:rsidP="00E15E54">
      <w:pPr>
        <w:pStyle w:val="ListParagraph"/>
        <w:numPr>
          <w:ilvl w:val="0"/>
          <w:numId w:val="2"/>
        </w:numPr>
        <w:jc w:val="both"/>
      </w:pPr>
      <w:r w:rsidRPr="00B63071">
        <w:t>järgida sotsiaalse vastutuse põhimõtteid ning head juhtimistava;</w:t>
      </w:r>
    </w:p>
    <w:p w14:paraId="4D61471D" w14:textId="77777777" w:rsidR="00E15E54" w:rsidRPr="00B63071" w:rsidRDefault="00E15E54" w:rsidP="00E15E54">
      <w:pPr>
        <w:pStyle w:val="ListParagraph"/>
        <w:numPr>
          <w:ilvl w:val="0"/>
          <w:numId w:val="2"/>
        </w:numPr>
        <w:jc w:val="both"/>
      </w:pPr>
      <w:r w:rsidRPr="00B63071">
        <w:t>muuseumi jätkusuutliku majandustegevuse tagamine.</w:t>
      </w:r>
    </w:p>
    <w:p w14:paraId="27F203F8" w14:textId="77777777" w:rsidR="00E15E54" w:rsidRPr="009A598B" w:rsidRDefault="00E15E54" w:rsidP="00E15E54">
      <w:pPr>
        <w:jc w:val="both"/>
      </w:pPr>
      <w:r>
        <w:t>S</w:t>
      </w:r>
      <w:r w:rsidRPr="009A598B">
        <w:t>eatavate eesmärkide täitmise eest vastuta</w:t>
      </w:r>
      <w:r>
        <w:t>vad</w:t>
      </w:r>
      <w:r w:rsidRPr="009A598B">
        <w:t xml:space="preserve"> sihtasutuse nõukogu ja juhatus. Erinevate eesmärkide tasakaalustamise eest vastutab sihtasutuse nõukogu.</w:t>
      </w:r>
    </w:p>
    <w:p w14:paraId="0A8F122B" w14:textId="77777777" w:rsidR="00E15E54" w:rsidRPr="009A598B" w:rsidRDefault="00E15E54" w:rsidP="00E15E54">
      <w:pPr>
        <w:spacing w:after="0"/>
        <w:jc w:val="both"/>
      </w:pPr>
      <w:r w:rsidRPr="009A598B">
        <w:t>Asutaja</w:t>
      </w:r>
      <w:r>
        <w:t>te</w:t>
      </w:r>
      <w:r w:rsidRPr="009A598B">
        <w:t xml:space="preserve"> ootuste täitmi</w:t>
      </w:r>
      <w:r>
        <w:t xml:space="preserve">se seire toimub </w:t>
      </w:r>
      <w:r w:rsidRPr="009A598B">
        <w:t xml:space="preserve">igal aastal perioodil </w:t>
      </w:r>
      <w:r>
        <w:t>veebruar</w:t>
      </w:r>
      <w:r w:rsidRPr="009A598B">
        <w:t xml:space="preserve"> kuni </w:t>
      </w:r>
      <w:r>
        <w:t>märts</w:t>
      </w:r>
      <w:r w:rsidRPr="009A598B">
        <w:t>, st enne majandusaasta aruande kinnitamist sihtasutuse nõukogus.</w:t>
      </w:r>
      <w:r>
        <w:t xml:space="preserve"> Asutajate ootusi uuendatakse vastavalt vajadusele.</w:t>
      </w:r>
    </w:p>
    <w:p w14:paraId="2DB8C3A1" w14:textId="77777777" w:rsidR="00E15E54" w:rsidRPr="009A598B" w:rsidRDefault="00E15E54" w:rsidP="00E15E54">
      <w:pPr>
        <w:spacing w:after="0"/>
        <w:jc w:val="both"/>
      </w:pPr>
    </w:p>
    <w:p w14:paraId="2435C052" w14:textId="5B655784" w:rsidR="00E15E54" w:rsidRPr="009A598B" w:rsidRDefault="00E15E54" w:rsidP="00E15E54">
      <w:pPr>
        <w:pStyle w:val="ListParagraph"/>
        <w:numPr>
          <w:ilvl w:val="0"/>
          <w:numId w:val="1"/>
        </w:numPr>
        <w:rPr>
          <w:b/>
          <w:bCs/>
          <w:color w:val="4472C4" w:themeColor="accent1"/>
        </w:rPr>
      </w:pPr>
      <w:r w:rsidRPr="009A598B">
        <w:rPr>
          <w:b/>
          <w:bCs/>
          <w:color w:val="4472C4" w:themeColor="accent1"/>
        </w:rPr>
        <w:t>Riigi</w:t>
      </w:r>
      <w:r>
        <w:rPr>
          <w:b/>
          <w:bCs/>
          <w:color w:val="4472C4" w:themeColor="accent1"/>
        </w:rPr>
        <w:t xml:space="preserve"> ja </w:t>
      </w:r>
      <w:r w:rsidR="00D91E24">
        <w:rPr>
          <w:b/>
          <w:bCs/>
          <w:color w:val="4472C4" w:themeColor="accent1"/>
        </w:rPr>
        <w:t xml:space="preserve">Tartu linna </w:t>
      </w:r>
      <w:r w:rsidRPr="009A598B">
        <w:rPr>
          <w:b/>
          <w:bCs/>
          <w:color w:val="4472C4" w:themeColor="accent1"/>
        </w:rPr>
        <w:t>osalemise põhjused sihtasutuse asutamisel</w:t>
      </w:r>
    </w:p>
    <w:p w14:paraId="3D1FD28C" w14:textId="65573AD1" w:rsidR="00E15E54" w:rsidRPr="0057398F" w:rsidRDefault="00E15E54" w:rsidP="00E15E54">
      <w:pPr>
        <w:spacing w:after="0"/>
        <w:jc w:val="both"/>
      </w:pPr>
      <w:r w:rsidRPr="009A598B">
        <w:t xml:space="preserve">Riik </w:t>
      </w:r>
      <w:r w:rsidRPr="004706B4">
        <w:t xml:space="preserve">ja </w:t>
      </w:r>
      <w:r w:rsidRPr="006C7962">
        <w:t xml:space="preserve">Tartu linn asutavad ühiselt Sihtasutuse Tartu Kunstimuuseum, et tagada sihtasutuse avaliku funktsiooni täitmine, milleks on vara valitsemise ja kasutamise kaudu </w:t>
      </w:r>
      <w:r w:rsidR="00A01BDA" w:rsidRPr="006C7962">
        <w:t>Eesti kultuuriloo seisukohalt olulise kunsti ning sellega seotud materjali kogumine, säilitamine, uurimine ning vahendamine</w:t>
      </w:r>
      <w:r w:rsidRPr="006C7962">
        <w:t xml:space="preserve">. Riigile kuuluvasse muuseumikogusse, mida sihtasutus hakkab kasutama halduslepingu alusel, kuulub väärtuslik osa Eesti kultuuripärandist, mille hoidmine ja arendamine on avalik huvi. Sihtasutuse missioon on aidata kaasa </w:t>
      </w:r>
      <w:r w:rsidR="00550071" w:rsidRPr="006C7962">
        <w:t xml:space="preserve">kunsti väärtustamisele ühiskonnas </w:t>
      </w:r>
      <w:r w:rsidR="00D62522" w:rsidRPr="006C7962">
        <w:t>ning</w:t>
      </w:r>
      <w:r w:rsidR="00550071" w:rsidRPr="006C7962">
        <w:t xml:space="preserve"> </w:t>
      </w:r>
      <w:r w:rsidR="00B97D76" w:rsidRPr="006C7962">
        <w:t xml:space="preserve">Tartu kui inspireeriva elukeskkonnaga linna </w:t>
      </w:r>
      <w:r w:rsidR="00D62522" w:rsidRPr="006C7962">
        <w:t>ja atraktiivse reisisi</w:t>
      </w:r>
      <w:r w:rsidR="00E311F0" w:rsidRPr="006C7962">
        <w:t>hi</w:t>
      </w:r>
      <w:r w:rsidR="00D62522" w:rsidRPr="006C7962">
        <w:t xml:space="preserve"> </w:t>
      </w:r>
      <w:r w:rsidR="00B97D76" w:rsidRPr="006C7962">
        <w:t>arengule.</w:t>
      </w:r>
    </w:p>
    <w:p w14:paraId="08DD06A6" w14:textId="6073B1AF" w:rsidR="00E15E54" w:rsidRDefault="00E15E54" w:rsidP="00E15E54">
      <w:pPr>
        <w:spacing w:after="0"/>
        <w:jc w:val="both"/>
      </w:pPr>
    </w:p>
    <w:p w14:paraId="7865C6EB" w14:textId="77777777" w:rsidR="00E15E54" w:rsidRPr="009A598B" w:rsidRDefault="00E15E54" w:rsidP="00E15E54">
      <w:pPr>
        <w:spacing w:after="0"/>
        <w:jc w:val="both"/>
      </w:pPr>
    </w:p>
    <w:p w14:paraId="738D2D83" w14:textId="77777777" w:rsidR="00E15E54" w:rsidRPr="009A598B" w:rsidRDefault="00E15E54" w:rsidP="00E15E54">
      <w:pPr>
        <w:pStyle w:val="ListParagraph"/>
        <w:numPr>
          <w:ilvl w:val="0"/>
          <w:numId w:val="1"/>
        </w:numPr>
        <w:rPr>
          <w:b/>
          <w:bCs/>
          <w:color w:val="4472C4" w:themeColor="accent1"/>
        </w:rPr>
      </w:pPr>
      <w:r w:rsidRPr="009A598B">
        <w:rPr>
          <w:b/>
          <w:bCs/>
          <w:color w:val="4472C4" w:themeColor="accent1"/>
        </w:rPr>
        <w:t>Strateegilised valdkondlikud eesmärgid</w:t>
      </w:r>
    </w:p>
    <w:p w14:paraId="0A17FC72" w14:textId="77777777" w:rsidR="00E15E54" w:rsidRPr="009A598B" w:rsidRDefault="00E15E54" w:rsidP="00E15E54">
      <w:pPr>
        <w:jc w:val="both"/>
      </w:pPr>
      <w:r w:rsidRPr="009A598B">
        <w:t>Võtmeindikaatorid</w:t>
      </w:r>
      <w:r w:rsidRPr="009A598B">
        <w:rPr>
          <w:rStyle w:val="FootnoteReference"/>
        </w:rPr>
        <w:footnoteReference w:id="1"/>
      </w:r>
      <w:r w:rsidRPr="009A598B">
        <w:t>:</w:t>
      </w:r>
    </w:p>
    <w:p w14:paraId="553C4CA6" w14:textId="77777777" w:rsidR="00E15E54" w:rsidRPr="009A598B" w:rsidRDefault="00E15E54" w:rsidP="00E15E54">
      <w:pPr>
        <w:pStyle w:val="ListParagraph"/>
        <w:numPr>
          <w:ilvl w:val="0"/>
          <w:numId w:val="3"/>
        </w:numPr>
        <w:jc w:val="both"/>
      </w:pPr>
      <w:r w:rsidRPr="009A598B">
        <w:t>Külastajate rahulolu</w:t>
      </w:r>
    </w:p>
    <w:p w14:paraId="05554EBB" w14:textId="77777777" w:rsidR="00E15E54" w:rsidRPr="009A598B" w:rsidRDefault="00E15E54" w:rsidP="00E15E54">
      <w:pPr>
        <w:pStyle w:val="ListParagraph"/>
        <w:numPr>
          <w:ilvl w:val="0"/>
          <w:numId w:val="3"/>
        </w:numPr>
        <w:jc w:val="both"/>
      </w:pPr>
      <w:r w:rsidRPr="009A598B">
        <w:t>Töötajate rahulolu</w:t>
      </w:r>
    </w:p>
    <w:p w14:paraId="5FCE8DBF" w14:textId="6D0C2DEF" w:rsidR="00E15E54" w:rsidRPr="009A598B" w:rsidRDefault="00E15E54" w:rsidP="00E15E54">
      <w:r w:rsidRPr="009A598B">
        <w:t xml:space="preserve">Täpsemad valdkonnapõhised ootused Sihtasutusele </w:t>
      </w:r>
      <w:r>
        <w:t>Tartu Kunstimuuseum</w:t>
      </w:r>
      <w:r w:rsidRPr="009A598B">
        <w:t xml:space="preserve"> on järgmised:</w:t>
      </w:r>
    </w:p>
    <w:p w14:paraId="1220CE41" w14:textId="079F3E5E" w:rsidR="00E15E54" w:rsidRPr="006C7962" w:rsidRDefault="00B151ED" w:rsidP="00E15E54">
      <w:pPr>
        <w:pStyle w:val="ListParagraph"/>
        <w:numPr>
          <w:ilvl w:val="0"/>
          <w:numId w:val="4"/>
        </w:numPr>
        <w:rPr>
          <w:b/>
          <w:bCs/>
        </w:rPr>
      </w:pPr>
      <w:r w:rsidRPr="006C7962">
        <w:rPr>
          <w:b/>
          <w:bCs/>
        </w:rPr>
        <w:t xml:space="preserve">Teha koostööd </w:t>
      </w:r>
      <w:r w:rsidR="0006194F" w:rsidRPr="006C7962">
        <w:rPr>
          <w:b/>
          <w:bCs/>
        </w:rPr>
        <w:t>Tartu südalinna kultuurikeskuse</w:t>
      </w:r>
      <w:r w:rsidR="00916219" w:rsidRPr="006C7962">
        <w:rPr>
          <w:b/>
          <w:bCs/>
        </w:rPr>
        <w:t xml:space="preserve"> rajamisel</w:t>
      </w:r>
      <w:r w:rsidR="007F0173" w:rsidRPr="006C7962">
        <w:rPr>
          <w:b/>
          <w:bCs/>
        </w:rPr>
        <w:t xml:space="preserve">: </w:t>
      </w:r>
      <w:r w:rsidR="00F37CB0" w:rsidRPr="006C7962">
        <w:rPr>
          <w:b/>
          <w:bCs/>
        </w:rPr>
        <w:t>anda vajalikku sisendit hoone projekteerimise</w:t>
      </w:r>
      <w:r w:rsidR="009B2E8E" w:rsidRPr="006C7962">
        <w:rPr>
          <w:b/>
          <w:bCs/>
        </w:rPr>
        <w:t xml:space="preserve">ks, </w:t>
      </w:r>
      <w:r w:rsidR="002F105B" w:rsidRPr="006C7962">
        <w:rPr>
          <w:b/>
          <w:bCs/>
        </w:rPr>
        <w:t>valmistada e</w:t>
      </w:r>
      <w:r w:rsidR="000506EA" w:rsidRPr="006C7962">
        <w:rPr>
          <w:b/>
          <w:bCs/>
        </w:rPr>
        <w:t>tte</w:t>
      </w:r>
      <w:r w:rsidR="007F0173" w:rsidRPr="006C7962">
        <w:rPr>
          <w:b/>
          <w:bCs/>
        </w:rPr>
        <w:t xml:space="preserve"> näituse- ja publikuprogramm</w:t>
      </w:r>
      <w:r w:rsidR="00053C7A" w:rsidRPr="006C7962">
        <w:rPr>
          <w:b/>
          <w:bCs/>
        </w:rPr>
        <w:t>id</w:t>
      </w:r>
      <w:r w:rsidR="008D1B32" w:rsidRPr="006C7962">
        <w:rPr>
          <w:b/>
          <w:bCs/>
        </w:rPr>
        <w:t xml:space="preserve">, koostada </w:t>
      </w:r>
      <w:r w:rsidR="004B6394" w:rsidRPr="006C7962">
        <w:rPr>
          <w:b/>
          <w:bCs/>
        </w:rPr>
        <w:t>finantsplaan</w:t>
      </w:r>
      <w:r w:rsidR="008D1B32" w:rsidRPr="006C7962">
        <w:rPr>
          <w:b/>
          <w:bCs/>
        </w:rPr>
        <w:t xml:space="preserve">, analüüsida vajadust muuta </w:t>
      </w:r>
      <w:r w:rsidR="0024388F" w:rsidRPr="006C7962">
        <w:rPr>
          <w:b/>
          <w:bCs/>
        </w:rPr>
        <w:t>asutuse struktuuri ja/või koosseisu.</w:t>
      </w:r>
    </w:p>
    <w:p w14:paraId="0F953C61" w14:textId="77777777" w:rsidR="00E15E54" w:rsidRPr="006C7962" w:rsidRDefault="00E15E54" w:rsidP="00E15E54">
      <w:pPr>
        <w:spacing w:after="0"/>
      </w:pPr>
      <w:r w:rsidRPr="006C7962">
        <w:t>Tulemusindikaatorid:</w:t>
      </w:r>
    </w:p>
    <w:p w14:paraId="6B3A0185" w14:textId="7EC777B2" w:rsidR="00E15E54" w:rsidRPr="006C7962" w:rsidRDefault="00E15E54" w:rsidP="00E15E54">
      <w:pPr>
        <w:pStyle w:val="ListParagraph"/>
        <w:numPr>
          <w:ilvl w:val="1"/>
          <w:numId w:val="4"/>
        </w:numPr>
        <w:rPr>
          <w:b/>
          <w:bCs/>
        </w:rPr>
      </w:pPr>
      <w:r w:rsidRPr="006C7962">
        <w:rPr>
          <w:rFonts w:ascii="Calibri" w:eastAsia="Times New Roman" w:hAnsi="Calibri" w:cs="Calibri"/>
          <w:color w:val="000000"/>
          <w:lang w:eastAsia="et-EE"/>
        </w:rPr>
        <w:lastRenderedPageBreak/>
        <w:t xml:space="preserve"> </w:t>
      </w:r>
      <w:r w:rsidR="00824166" w:rsidRPr="006C7962">
        <w:rPr>
          <w:rFonts w:ascii="Calibri" w:eastAsia="Times New Roman" w:hAnsi="Calibri" w:cs="Calibri"/>
          <w:color w:val="000000"/>
          <w:lang w:eastAsia="et-EE"/>
        </w:rPr>
        <w:t xml:space="preserve">Vajalikud analüüsid </w:t>
      </w:r>
      <w:r w:rsidR="00F7111F" w:rsidRPr="006C7962">
        <w:rPr>
          <w:rFonts w:ascii="Calibri" w:eastAsia="Times New Roman" w:hAnsi="Calibri" w:cs="Calibri"/>
          <w:color w:val="000000"/>
          <w:lang w:eastAsia="et-EE"/>
        </w:rPr>
        <w:t xml:space="preserve">ja plaanid </w:t>
      </w:r>
      <w:r w:rsidR="00824166" w:rsidRPr="006C7962">
        <w:rPr>
          <w:rFonts w:ascii="Calibri" w:eastAsia="Times New Roman" w:hAnsi="Calibri" w:cs="Calibri"/>
          <w:color w:val="000000"/>
          <w:lang w:eastAsia="et-EE"/>
        </w:rPr>
        <w:t>koostatud</w:t>
      </w:r>
    </w:p>
    <w:p w14:paraId="2B593292" w14:textId="77777777" w:rsidR="00E15E54" w:rsidRPr="00B36D77" w:rsidRDefault="00E15E54" w:rsidP="00E15E54">
      <w:pPr>
        <w:pStyle w:val="ListParagraph"/>
        <w:ind w:left="360"/>
        <w:rPr>
          <w:b/>
          <w:bCs/>
        </w:rPr>
      </w:pPr>
    </w:p>
    <w:p w14:paraId="17F5CA35" w14:textId="77777777" w:rsidR="00E15E54" w:rsidRPr="00B24CCD" w:rsidRDefault="00E15E54" w:rsidP="00E15E54">
      <w:pPr>
        <w:pStyle w:val="ListParagraph"/>
        <w:numPr>
          <w:ilvl w:val="0"/>
          <w:numId w:val="4"/>
        </w:numPr>
        <w:rPr>
          <w:b/>
          <w:bCs/>
        </w:rPr>
      </w:pPr>
      <w:r w:rsidRPr="00B24CCD">
        <w:rPr>
          <w:b/>
          <w:bCs/>
        </w:rPr>
        <w:t>Hoida kogumispõhimõtted ajakohased ja järjepidevalt täiendada muuseumikogu vastavalt kogumispõhimõtetele.</w:t>
      </w:r>
    </w:p>
    <w:p w14:paraId="4B5B0B73" w14:textId="77777777" w:rsidR="00E15E54" w:rsidRDefault="00E15E54" w:rsidP="00E15E54">
      <w:pPr>
        <w:spacing w:after="0"/>
      </w:pPr>
      <w:r w:rsidRPr="009A598B">
        <w:t>Tulemusindikaatorid:</w:t>
      </w:r>
    </w:p>
    <w:p w14:paraId="7ED31D74" w14:textId="77777777" w:rsidR="00E15E54"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B36D77">
        <w:rPr>
          <w:rFonts w:ascii="Calibri" w:eastAsia="Times New Roman" w:hAnsi="Calibri" w:cs="Calibri"/>
          <w:color w:val="000000"/>
          <w:lang w:eastAsia="et-EE"/>
        </w:rPr>
        <w:t xml:space="preserve">Uute </w:t>
      </w:r>
      <w:proofErr w:type="spellStart"/>
      <w:r w:rsidRPr="00B36D77">
        <w:rPr>
          <w:rFonts w:ascii="Calibri" w:eastAsia="Times New Roman" w:hAnsi="Calibri" w:cs="Calibri"/>
          <w:color w:val="000000"/>
          <w:lang w:eastAsia="et-EE"/>
        </w:rPr>
        <w:t>museaalide</w:t>
      </w:r>
      <w:proofErr w:type="spellEnd"/>
      <w:r w:rsidRPr="00B36D77">
        <w:rPr>
          <w:rFonts w:ascii="Calibri" w:eastAsia="Times New Roman" w:hAnsi="Calibri" w:cs="Calibri"/>
          <w:color w:val="000000"/>
          <w:lang w:eastAsia="et-EE"/>
        </w:rPr>
        <w:t xml:space="preserve"> vastavus kehtivatele kogumispõhimõtetele</w:t>
      </w:r>
    </w:p>
    <w:p w14:paraId="041DF3D0" w14:textId="77777777" w:rsidR="00E15E54" w:rsidRPr="00B36D7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B36D77">
        <w:rPr>
          <w:rFonts w:ascii="Calibri" w:eastAsia="Times New Roman" w:hAnsi="Calibri" w:cs="Calibri"/>
          <w:color w:val="000000"/>
          <w:lang w:eastAsia="et-EE"/>
        </w:rPr>
        <w:t xml:space="preserve">Muuseumikogu täiendamise otsuste põhjendatus </w:t>
      </w:r>
    </w:p>
    <w:p w14:paraId="0C1F3208" w14:textId="77777777" w:rsidR="00E15E54" w:rsidRPr="009A598B" w:rsidRDefault="00E15E54" w:rsidP="00E15E54">
      <w:pPr>
        <w:pStyle w:val="ListParagraph"/>
      </w:pPr>
    </w:p>
    <w:p w14:paraId="23CF0A9D" w14:textId="77777777" w:rsidR="00E15E54" w:rsidRPr="009A598B" w:rsidRDefault="00E15E54" w:rsidP="00E15E54">
      <w:pPr>
        <w:pStyle w:val="ListParagraph"/>
        <w:numPr>
          <w:ilvl w:val="0"/>
          <w:numId w:val="4"/>
        </w:numPr>
        <w:rPr>
          <w:b/>
          <w:bCs/>
        </w:rPr>
      </w:pPr>
      <w:r w:rsidRPr="009A598B">
        <w:rPr>
          <w:b/>
          <w:bCs/>
        </w:rPr>
        <w:t>Säilitada muuseumikogu turvalistes ja stabiilsetes hoiutingimustes.</w:t>
      </w:r>
    </w:p>
    <w:p w14:paraId="58D6FB3B" w14:textId="77777777" w:rsidR="00E15E54" w:rsidRPr="00FD6E47" w:rsidRDefault="00E15E54" w:rsidP="00E15E54">
      <w:pPr>
        <w:spacing w:after="0"/>
        <w:rPr>
          <w:rFonts w:ascii="Calibri" w:eastAsia="Times New Roman" w:hAnsi="Calibri" w:cs="Calibri"/>
          <w:color w:val="000000"/>
          <w:lang w:eastAsia="et-EE"/>
        </w:rPr>
      </w:pPr>
      <w:r w:rsidRPr="00FD6E47">
        <w:rPr>
          <w:rFonts w:ascii="Calibri" w:eastAsia="Times New Roman" w:hAnsi="Calibri" w:cs="Calibri"/>
          <w:color w:val="000000"/>
          <w:lang w:eastAsia="et-EE"/>
        </w:rPr>
        <w:t>Tulemusindikaatorid:</w:t>
      </w:r>
    </w:p>
    <w:p w14:paraId="4A70EA3D"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9A598B">
        <w:rPr>
          <w:rFonts w:ascii="Calibri" w:eastAsia="Times New Roman" w:hAnsi="Calibri" w:cs="Calibri"/>
          <w:color w:val="000000"/>
          <w:lang w:eastAsia="et-EE"/>
        </w:rPr>
        <w:t>Nõuetekohast säilitamist tagava hoidlapinna osakaal hoidlate kogupinnast</w:t>
      </w:r>
    </w:p>
    <w:p w14:paraId="68D6FDE6"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9A598B">
        <w:rPr>
          <w:rFonts w:ascii="Calibri" w:eastAsia="Times New Roman" w:hAnsi="Calibri" w:cs="Calibri"/>
          <w:color w:val="000000"/>
          <w:lang w:eastAsia="et-EE"/>
        </w:rPr>
        <w:t xml:space="preserve">Rahuldava füüsilise seisukorraga </w:t>
      </w:r>
      <w:proofErr w:type="spellStart"/>
      <w:r w:rsidRPr="009A598B">
        <w:rPr>
          <w:rFonts w:ascii="Calibri" w:eastAsia="Times New Roman" w:hAnsi="Calibri" w:cs="Calibri"/>
          <w:color w:val="000000"/>
          <w:lang w:eastAsia="et-EE"/>
        </w:rPr>
        <w:t>museaalide</w:t>
      </w:r>
      <w:proofErr w:type="spellEnd"/>
      <w:r w:rsidRPr="009A598B">
        <w:rPr>
          <w:rFonts w:ascii="Calibri" w:eastAsia="Times New Roman" w:hAnsi="Calibri" w:cs="Calibri"/>
          <w:color w:val="000000"/>
          <w:lang w:eastAsia="et-EE"/>
        </w:rPr>
        <w:t xml:space="preserve"> osakaal </w:t>
      </w:r>
      <w:proofErr w:type="spellStart"/>
      <w:r w:rsidRPr="009A598B">
        <w:rPr>
          <w:rFonts w:ascii="Calibri" w:eastAsia="Times New Roman" w:hAnsi="Calibri" w:cs="Calibri"/>
          <w:color w:val="000000"/>
          <w:lang w:eastAsia="et-EE"/>
        </w:rPr>
        <w:t>museaalide</w:t>
      </w:r>
      <w:proofErr w:type="spellEnd"/>
      <w:r w:rsidRPr="009A598B">
        <w:rPr>
          <w:rFonts w:ascii="Calibri" w:eastAsia="Times New Roman" w:hAnsi="Calibri" w:cs="Calibri"/>
          <w:color w:val="000000"/>
          <w:lang w:eastAsia="et-EE"/>
        </w:rPr>
        <w:t xml:space="preserve"> koguarvust</w:t>
      </w:r>
    </w:p>
    <w:p w14:paraId="1AD7554C" w14:textId="77777777" w:rsidR="00E15E54" w:rsidRPr="009A598B" w:rsidRDefault="00E15E54" w:rsidP="00E15E54">
      <w:pPr>
        <w:pStyle w:val="ListParagraph"/>
      </w:pPr>
    </w:p>
    <w:p w14:paraId="51EFF7EF" w14:textId="77777777" w:rsidR="00E15E54" w:rsidRPr="009A598B" w:rsidRDefault="00E15E54" w:rsidP="00E15E54">
      <w:pPr>
        <w:pStyle w:val="ListParagraph"/>
        <w:numPr>
          <w:ilvl w:val="0"/>
          <w:numId w:val="4"/>
        </w:numPr>
        <w:rPr>
          <w:b/>
          <w:bCs/>
        </w:rPr>
      </w:pPr>
      <w:r w:rsidRPr="001E7DC8">
        <w:rPr>
          <w:b/>
          <w:bCs/>
        </w:rPr>
        <w:t>Võimaldada huvilistele ligipääs muuseumikogule ja algatada muuseumikoguga ja/või muuseumi uurimi</w:t>
      </w:r>
      <w:r>
        <w:rPr>
          <w:b/>
          <w:bCs/>
        </w:rPr>
        <w:t>s</w:t>
      </w:r>
      <w:r w:rsidRPr="001E7DC8">
        <w:rPr>
          <w:b/>
          <w:bCs/>
        </w:rPr>
        <w:t>teemaga seotud uurimisprojekte</w:t>
      </w:r>
      <w:r w:rsidRPr="009A598B">
        <w:rPr>
          <w:b/>
          <w:bCs/>
        </w:rPr>
        <w:t>.</w:t>
      </w:r>
    </w:p>
    <w:p w14:paraId="7E0775EB" w14:textId="77777777" w:rsidR="00E15E54" w:rsidRPr="00FD6E47" w:rsidRDefault="00E15E54" w:rsidP="00E15E54">
      <w:pPr>
        <w:spacing w:after="0"/>
        <w:rPr>
          <w:rFonts w:ascii="Calibri" w:eastAsia="Times New Roman" w:hAnsi="Calibri" w:cs="Calibri"/>
          <w:color w:val="000000"/>
          <w:lang w:eastAsia="et-EE"/>
        </w:rPr>
      </w:pPr>
      <w:r w:rsidRPr="00FD6E47">
        <w:rPr>
          <w:rFonts w:ascii="Calibri" w:eastAsia="Times New Roman" w:hAnsi="Calibri" w:cs="Calibri"/>
          <w:color w:val="000000"/>
          <w:lang w:eastAsia="et-EE"/>
        </w:rPr>
        <w:t>Tulemusindikaatorid:</w:t>
      </w:r>
    </w:p>
    <w:p w14:paraId="7F43C05D"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75740E">
        <w:rPr>
          <w:rFonts w:ascii="Calibri" w:eastAsia="Times New Roman" w:hAnsi="Calibri" w:cs="Calibri"/>
          <w:color w:val="000000"/>
          <w:lang w:eastAsia="et-EE"/>
        </w:rPr>
        <w:t xml:space="preserve">Foto- ja dokumendikogu kättesaadavus </w:t>
      </w:r>
      <w:proofErr w:type="spellStart"/>
      <w:r w:rsidRPr="0075740E">
        <w:rPr>
          <w:rFonts w:ascii="Calibri" w:eastAsia="Times New Roman" w:hAnsi="Calibri" w:cs="Calibri"/>
          <w:color w:val="000000"/>
          <w:lang w:eastAsia="et-EE"/>
        </w:rPr>
        <w:t>MuIS-is</w:t>
      </w:r>
      <w:proofErr w:type="spellEnd"/>
      <w:r w:rsidRPr="0075740E">
        <w:rPr>
          <w:rFonts w:ascii="Calibri" w:eastAsia="Times New Roman" w:hAnsi="Calibri" w:cs="Calibri"/>
          <w:color w:val="000000"/>
          <w:lang w:eastAsia="et-EE"/>
        </w:rPr>
        <w:t xml:space="preserve"> </w:t>
      </w:r>
    </w:p>
    <w:p w14:paraId="6537A3B3" w14:textId="7A9DAEDB" w:rsidR="00E15E54"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75740E">
        <w:rPr>
          <w:rFonts w:ascii="Calibri" w:eastAsia="Times New Roman" w:hAnsi="Calibri" w:cs="Calibri"/>
          <w:color w:val="000000"/>
          <w:lang w:eastAsia="et-EE"/>
        </w:rPr>
        <w:t>Uurimisprojektide arv</w:t>
      </w:r>
      <w:r>
        <w:rPr>
          <w:rFonts w:ascii="Calibri" w:eastAsia="Times New Roman" w:hAnsi="Calibri" w:cs="Calibri"/>
          <w:color w:val="000000"/>
          <w:lang w:eastAsia="et-EE"/>
        </w:rPr>
        <w:t xml:space="preserve"> aastas</w:t>
      </w:r>
      <w:r w:rsidRPr="0075740E">
        <w:rPr>
          <w:rFonts w:ascii="Calibri" w:eastAsia="Times New Roman" w:hAnsi="Calibri" w:cs="Calibri"/>
          <w:color w:val="000000"/>
          <w:lang w:eastAsia="et-EE"/>
        </w:rPr>
        <w:t xml:space="preserve"> </w:t>
      </w:r>
    </w:p>
    <w:p w14:paraId="0E49F51B" w14:textId="77777777" w:rsidR="006C7962" w:rsidRPr="00FD6E47" w:rsidRDefault="006C7962" w:rsidP="006C7962">
      <w:pPr>
        <w:pStyle w:val="ListParagraph"/>
        <w:spacing w:after="0"/>
        <w:ind w:left="360"/>
        <w:rPr>
          <w:rFonts w:ascii="Calibri" w:eastAsia="Times New Roman" w:hAnsi="Calibri" w:cs="Calibri"/>
          <w:color w:val="000000"/>
          <w:lang w:eastAsia="et-EE"/>
        </w:rPr>
      </w:pPr>
    </w:p>
    <w:p w14:paraId="228FE3DE" w14:textId="3BB3BE0B" w:rsidR="00E15E54" w:rsidRPr="00D41791" w:rsidRDefault="00346BD6" w:rsidP="006C7962">
      <w:pPr>
        <w:pStyle w:val="ListParagraph"/>
        <w:numPr>
          <w:ilvl w:val="0"/>
          <w:numId w:val="4"/>
        </w:numPr>
        <w:rPr>
          <w:b/>
          <w:bCs/>
        </w:rPr>
      </w:pPr>
      <w:r w:rsidRPr="00D41791">
        <w:rPr>
          <w:b/>
          <w:bCs/>
        </w:rPr>
        <w:t>Laiendada muuseumi pakutavat kompetentsi ja pakkuda koostöövõimalusi Tartu linna hallatavatele asutustele ühisprojektide läbiviimiseks ning seeläbi suurendada muuseumi kogukondlikku mõju.</w:t>
      </w:r>
    </w:p>
    <w:p w14:paraId="054E59CE" w14:textId="1536CEE5" w:rsidR="00346BD6" w:rsidRPr="00D41791" w:rsidRDefault="00346BD6" w:rsidP="00346BD6">
      <w:r w:rsidRPr="00D41791">
        <w:t>Tulemusindikaatorid</w:t>
      </w:r>
    </w:p>
    <w:p w14:paraId="7AC9A2B0" w14:textId="28BBEB63" w:rsidR="00346BD6" w:rsidRPr="00D41791" w:rsidRDefault="00346BD6" w:rsidP="00346BD6">
      <w:pPr>
        <w:pStyle w:val="ListParagraph"/>
        <w:numPr>
          <w:ilvl w:val="1"/>
          <w:numId w:val="4"/>
        </w:numPr>
      </w:pPr>
      <w:r w:rsidRPr="00D41791">
        <w:t>Toimunud koostööprojektide arv</w:t>
      </w:r>
    </w:p>
    <w:p w14:paraId="4C41EE49" w14:textId="77777777" w:rsidR="00346BD6" w:rsidRPr="009A598B" w:rsidRDefault="00346BD6" w:rsidP="00346BD6">
      <w:pPr>
        <w:pStyle w:val="ListParagraph"/>
        <w:ind w:left="360"/>
      </w:pPr>
    </w:p>
    <w:p w14:paraId="05258D53" w14:textId="77777777" w:rsidR="00E15E54" w:rsidRPr="009A598B" w:rsidRDefault="00E15E54" w:rsidP="00E15E54">
      <w:pPr>
        <w:pStyle w:val="ListParagraph"/>
        <w:numPr>
          <w:ilvl w:val="0"/>
          <w:numId w:val="4"/>
        </w:numPr>
        <w:rPr>
          <w:b/>
          <w:bCs/>
        </w:rPr>
      </w:pPr>
      <w:r w:rsidRPr="009A598B">
        <w:rPr>
          <w:b/>
          <w:bCs/>
        </w:rPr>
        <w:t>Pakkuda muuseumi missioonist, kogust ja teemadest lähtuvaid haridustegevusi ning unikaalset ja inspireerivat näituseprogrammi.</w:t>
      </w:r>
    </w:p>
    <w:p w14:paraId="0CAB5C2F" w14:textId="77777777" w:rsidR="00E15E54" w:rsidRPr="00FD6E47" w:rsidRDefault="00E15E54" w:rsidP="00E15E54">
      <w:pPr>
        <w:spacing w:after="0"/>
        <w:rPr>
          <w:rFonts w:ascii="Calibri" w:eastAsia="Times New Roman" w:hAnsi="Calibri" w:cs="Calibri"/>
          <w:color w:val="000000"/>
          <w:lang w:eastAsia="et-EE"/>
        </w:rPr>
      </w:pPr>
      <w:r w:rsidRPr="00FD6E47">
        <w:rPr>
          <w:rFonts w:ascii="Calibri" w:eastAsia="Times New Roman" w:hAnsi="Calibri" w:cs="Calibri"/>
          <w:color w:val="000000"/>
          <w:lang w:eastAsia="et-EE"/>
        </w:rPr>
        <w:t>Tulemusindikaatorid:</w:t>
      </w:r>
    </w:p>
    <w:p w14:paraId="24FC1EF0"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 xml:space="preserve">Muuseumi külastajate arv aastas, sh piletiga külastajate arv  (panustab „Kultuuri arengukava 2021–2030“ </w:t>
      </w:r>
      <w:proofErr w:type="spellStart"/>
      <w:r w:rsidRPr="00FD6E47">
        <w:rPr>
          <w:rFonts w:ascii="Calibri" w:eastAsia="Times New Roman" w:hAnsi="Calibri" w:cs="Calibri"/>
          <w:color w:val="000000"/>
          <w:lang w:eastAsia="et-EE"/>
        </w:rPr>
        <w:t>üldeesmärgi</w:t>
      </w:r>
      <w:proofErr w:type="spellEnd"/>
      <w:r w:rsidRPr="00FD6E47">
        <w:rPr>
          <w:rFonts w:ascii="Calibri" w:eastAsia="Times New Roman" w:hAnsi="Calibri" w:cs="Calibri"/>
          <w:color w:val="000000"/>
          <w:lang w:eastAsia="et-EE"/>
        </w:rPr>
        <w:t xml:space="preserve"> mõõdikusse „Eesti elanike osalemine kultuurielus“)</w:t>
      </w:r>
    </w:p>
    <w:p w14:paraId="773BA8F0"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Haridustegevustes osalejate rahulolu pakutud tegevustega</w:t>
      </w:r>
    </w:p>
    <w:p w14:paraId="46CCF187"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Aasta jooksul tegevusest osa saanud kooliõpilaste arv</w:t>
      </w:r>
    </w:p>
    <w:p w14:paraId="3F5AA913" w14:textId="77777777" w:rsidR="00E15E54" w:rsidRPr="009A598B" w:rsidRDefault="00E15E54" w:rsidP="00E15E54">
      <w:pPr>
        <w:pStyle w:val="ListParagraph"/>
        <w:ind w:left="1080"/>
      </w:pPr>
    </w:p>
    <w:p w14:paraId="1415205C" w14:textId="77777777" w:rsidR="00E15E54" w:rsidRPr="009A598B" w:rsidRDefault="00E15E54" w:rsidP="00E15E54">
      <w:pPr>
        <w:pStyle w:val="ListParagraph"/>
        <w:numPr>
          <w:ilvl w:val="0"/>
          <w:numId w:val="4"/>
        </w:numPr>
        <w:rPr>
          <w:b/>
          <w:bCs/>
        </w:rPr>
      </w:pPr>
      <w:r w:rsidRPr="009A598B">
        <w:rPr>
          <w:b/>
          <w:bCs/>
        </w:rPr>
        <w:t>Tagada muuseumikogusse kuuluvate autoriõigustest vabade teoste digikujutiste vabakasutus.</w:t>
      </w:r>
    </w:p>
    <w:p w14:paraId="098736D4" w14:textId="77777777" w:rsidR="00E15E54" w:rsidRPr="009A598B" w:rsidRDefault="00E15E54" w:rsidP="00E15E54">
      <w:pPr>
        <w:pStyle w:val="ListParagraph"/>
        <w:ind w:left="360"/>
      </w:pPr>
    </w:p>
    <w:p w14:paraId="234F087B" w14:textId="77777777" w:rsidR="00E15E54" w:rsidRPr="009A598B" w:rsidRDefault="00E15E54" w:rsidP="00E15E54">
      <w:pPr>
        <w:pStyle w:val="ListParagraph"/>
        <w:numPr>
          <w:ilvl w:val="0"/>
          <w:numId w:val="4"/>
        </w:numPr>
        <w:rPr>
          <w:b/>
          <w:bCs/>
        </w:rPr>
      </w:pPr>
      <w:r w:rsidRPr="009A598B">
        <w:rPr>
          <w:b/>
          <w:bCs/>
        </w:rPr>
        <w:t xml:space="preserve">Hoida muuseumi näitused külastajatele avatud vähemalt kuuel päeval nädalas, sh nädalavahetustel ja </w:t>
      </w:r>
      <w:r>
        <w:rPr>
          <w:b/>
          <w:bCs/>
        </w:rPr>
        <w:t xml:space="preserve">üldjuhul ka </w:t>
      </w:r>
      <w:r w:rsidRPr="009A598B">
        <w:rPr>
          <w:b/>
          <w:bCs/>
        </w:rPr>
        <w:t>riigipühadel ning iga nädal vähemalt ühel tööpäeval kauem kui kella 1</w:t>
      </w:r>
      <w:r>
        <w:rPr>
          <w:b/>
          <w:bCs/>
        </w:rPr>
        <w:t>8</w:t>
      </w:r>
      <w:r w:rsidRPr="009A598B">
        <w:rPr>
          <w:b/>
          <w:bCs/>
        </w:rPr>
        <w:t>.00-ni.</w:t>
      </w:r>
    </w:p>
    <w:p w14:paraId="2A0529A2" w14:textId="77777777" w:rsidR="00E15E54" w:rsidRPr="009A598B" w:rsidRDefault="00E15E54" w:rsidP="00E15E54">
      <w:pPr>
        <w:pStyle w:val="ListParagraph"/>
        <w:ind w:left="360"/>
      </w:pPr>
    </w:p>
    <w:p w14:paraId="231AE240" w14:textId="77777777" w:rsidR="00E15E54" w:rsidRPr="009A598B" w:rsidRDefault="00E15E54" w:rsidP="00E15E54">
      <w:pPr>
        <w:pStyle w:val="ListParagraph"/>
        <w:numPr>
          <w:ilvl w:val="0"/>
          <w:numId w:val="4"/>
        </w:numPr>
      </w:pPr>
      <w:r w:rsidRPr="009A598B">
        <w:rPr>
          <w:b/>
          <w:bCs/>
        </w:rPr>
        <w:t>Arvestada kõigi teenuste pakkumisel kasutajate vajadustega kogu nende elukaare ulatuses:</w:t>
      </w:r>
      <w:r w:rsidRPr="009A598B">
        <w:t xml:space="preserve"> lapsed, eakad, erivajadustega inimesed, lapsevanemad, ajutise tegevuspiiranguga inimesed, </w:t>
      </w:r>
      <w:r w:rsidRPr="00161E1C">
        <w:t xml:space="preserve">erineva keele- ja kultuuritaustaga </w:t>
      </w:r>
      <w:r w:rsidRPr="009A598B">
        <w:t xml:space="preserve">inimesed ja kõik teised. Analüüsida teenuseid nn suutlikkussurvest ja kogemuse terviklikkusest lähtuvalt: st millist võimekust või suutlikkust iga konkreetne teenus kasutajalt igas üksikus kasutusetapis nõuab ning kuidas on võimalik </w:t>
      </w:r>
      <w:r w:rsidRPr="009A598B">
        <w:lastRenderedPageBreak/>
        <w:t>suutlikkuste barjääre alandada või alternatiive pakkuda. Suuremaid investeeringuid nõudvate muudatuste puhul koostada tegevuskava.</w:t>
      </w:r>
    </w:p>
    <w:p w14:paraId="59668624" w14:textId="77777777" w:rsidR="00E15E54" w:rsidRPr="009A598B" w:rsidRDefault="00E15E54" w:rsidP="00E15E54">
      <w:pPr>
        <w:pStyle w:val="ListParagraph"/>
      </w:pPr>
    </w:p>
    <w:p w14:paraId="4D350B90" w14:textId="77777777" w:rsidR="00E15E54" w:rsidRPr="009A598B" w:rsidRDefault="00E15E54" w:rsidP="00E15E54">
      <w:pPr>
        <w:pStyle w:val="ListParagraph"/>
        <w:numPr>
          <w:ilvl w:val="0"/>
          <w:numId w:val="4"/>
        </w:numPr>
        <w:rPr>
          <w:b/>
          <w:bCs/>
        </w:rPr>
      </w:pPr>
      <w:r w:rsidRPr="009A598B">
        <w:rPr>
          <w:b/>
          <w:bCs/>
        </w:rPr>
        <w:t>Vähendada muuseumi keskkonnajalajälge.</w:t>
      </w:r>
    </w:p>
    <w:p w14:paraId="07097027" w14:textId="77777777" w:rsidR="00E15E54" w:rsidRPr="00FD6E47" w:rsidRDefault="00E15E54" w:rsidP="00E15E54">
      <w:pPr>
        <w:spacing w:after="0"/>
        <w:rPr>
          <w:rFonts w:ascii="Calibri" w:eastAsia="Times New Roman" w:hAnsi="Calibri" w:cs="Calibri"/>
          <w:color w:val="000000"/>
          <w:lang w:eastAsia="et-EE"/>
        </w:rPr>
      </w:pPr>
      <w:r w:rsidRPr="00FD6E47">
        <w:rPr>
          <w:rFonts w:ascii="Calibri" w:eastAsia="Times New Roman" w:hAnsi="Calibri" w:cs="Calibri"/>
          <w:color w:val="000000"/>
          <w:lang w:eastAsia="et-EE"/>
        </w:rPr>
        <w:t>Tulemusindikaatorid (panustavad „Kultuuri arengukava 2021–2030“ alaeesmärgi mõõdikusse „Eesti kultuurikorralduse keskkonnamõju“):</w:t>
      </w:r>
    </w:p>
    <w:p w14:paraId="10203DAC"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Elektri- ja soojusenergia kasutus</w:t>
      </w:r>
      <w:r>
        <w:rPr>
          <w:rFonts w:ascii="Calibri" w:eastAsia="Times New Roman" w:hAnsi="Calibri" w:cs="Calibri"/>
          <w:color w:val="000000"/>
          <w:lang w:eastAsia="et-EE"/>
        </w:rPr>
        <w:t xml:space="preserve"> aastas</w:t>
      </w:r>
    </w:p>
    <w:p w14:paraId="3FEA971F"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Vee kasutus</w:t>
      </w:r>
      <w:r>
        <w:rPr>
          <w:rFonts w:ascii="Calibri" w:eastAsia="Times New Roman" w:hAnsi="Calibri" w:cs="Calibri"/>
          <w:color w:val="000000"/>
          <w:lang w:eastAsia="et-EE"/>
        </w:rPr>
        <w:t xml:space="preserve"> aastas</w:t>
      </w:r>
    </w:p>
    <w:p w14:paraId="25B45D79"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Jäätmete liigiti kogumine</w:t>
      </w:r>
    </w:p>
    <w:p w14:paraId="1372C34D"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Keskkonnahoidlike hangete osakaal</w:t>
      </w:r>
      <w:r>
        <w:rPr>
          <w:rFonts w:ascii="Calibri" w:eastAsia="Times New Roman" w:hAnsi="Calibri" w:cs="Calibri"/>
          <w:color w:val="000000"/>
          <w:lang w:eastAsia="et-EE"/>
        </w:rPr>
        <w:t xml:space="preserve"> </w:t>
      </w:r>
      <w:r w:rsidRPr="00923D10">
        <w:rPr>
          <w:rFonts w:ascii="Calibri" w:eastAsia="Times New Roman" w:hAnsi="Calibri" w:cs="Calibri"/>
          <w:color w:val="000000"/>
          <w:lang w:eastAsia="et-EE"/>
        </w:rPr>
        <w:t>kõigist hangetest aastas</w:t>
      </w:r>
    </w:p>
    <w:p w14:paraId="34BB1A5E" w14:textId="77777777" w:rsidR="00E15E54" w:rsidRPr="00FD6E47" w:rsidRDefault="00E15E54" w:rsidP="00E15E54">
      <w:pPr>
        <w:pStyle w:val="ListParagraph"/>
        <w:numPr>
          <w:ilvl w:val="1"/>
          <w:numId w:val="4"/>
        </w:numPr>
        <w:spacing w:after="0"/>
        <w:rPr>
          <w:rFonts w:ascii="Calibri" w:eastAsia="Times New Roman" w:hAnsi="Calibri" w:cs="Calibri"/>
          <w:color w:val="000000"/>
          <w:lang w:eastAsia="et-EE"/>
        </w:rPr>
      </w:pPr>
      <w:r>
        <w:rPr>
          <w:rFonts w:ascii="Calibri" w:eastAsia="Times New Roman" w:hAnsi="Calibri" w:cs="Calibri"/>
          <w:color w:val="000000"/>
          <w:lang w:eastAsia="et-EE"/>
        </w:rPr>
        <w:t xml:space="preserve"> </w:t>
      </w:r>
      <w:r w:rsidRPr="00FD6E47">
        <w:rPr>
          <w:rFonts w:ascii="Calibri" w:eastAsia="Times New Roman" w:hAnsi="Calibri" w:cs="Calibri"/>
          <w:color w:val="000000"/>
          <w:lang w:eastAsia="et-EE"/>
        </w:rPr>
        <w:t>„Rohelise muuseumi“ ja/või  "Roheline võti" märgise saamine/hoidmine</w:t>
      </w:r>
    </w:p>
    <w:p w14:paraId="08EF673C" w14:textId="77777777" w:rsidR="00E15E54" w:rsidRPr="009A598B" w:rsidRDefault="00E15E54" w:rsidP="00E15E54">
      <w:pPr>
        <w:pStyle w:val="ListParagraph"/>
      </w:pPr>
    </w:p>
    <w:p w14:paraId="63582F87" w14:textId="77777777" w:rsidR="00E15E54" w:rsidRPr="009A598B" w:rsidRDefault="00E15E54" w:rsidP="00E15E54">
      <w:pPr>
        <w:pStyle w:val="ListParagraph"/>
        <w:numPr>
          <w:ilvl w:val="0"/>
          <w:numId w:val="1"/>
        </w:numPr>
        <w:rPr>
          <w:b/>
          <w:bCs/>
          <w:color w:val="4472C4" w:themeColor="accent1"/>
        </w:rPr>
      </w:pPr>
      <w:r w:rsidRPr="009A598B">
        <w:rPr>
          <w:b/>
          <w:bCs/>
          <w:color w:val="4472C4" w:themeColor="accent1"/>
        </w:rPr>
        <w:t>Finantseesmärgid</w:t>
      </w:r>
    </w:p>
    <w:p w14:paraId="492439DD" w14:textId="77777777" w:rsidR="00E15E54" w:rsidRPr="009A598B" w:rsidRDefault="00E15E54" w:rsidP="00E15E54">
      <w:pPr>
        <w:jc w:val="both"/>
      </w:pPr>
      <w:r w:rsidRPr="009A598B">
        <w:t>Kasumi</w:t>
      </w:r>
      <w:r>
        <w:t xml:space="preserve"> </w:t>
      </w:r>
      <w:r w:rsidRPr="009A598B">
        <w:t xml:space="preserve">teenimine ei ole riigi asutatud sihtasutuste tegevuseesmärk. Vaatamata sellele on vajalik jälgida, et sihtasutus tegutseks oma eesmärkide saavutamisel neile eraldatud ressurssidega võimalikult kuluefektiivselt. </w:t>
      </w:r>
    </w:p>
    <w:p w14:paraId="0DCCBBBD" w14:textId="77777777" w:rsidR="00E15E54" w:rsidRPr="009A598B" w:rsidRDefault="00E15E54" w:rsidP="00E15E54">
      <w:pPr>
        <w:spacing w:after="0"/>
      </w:pPr>
      <w:r w:rsidRPr="009A598B">
        <w:t>Võtmeindikaatorid:</w:t>
      </w:r>
    </w:p>
    <w:p w14:paraId="024AFD15" w14:textId="77777777" w:rsidR="00E15E54" w:rsidRDefault="00E15E54" w:rsidP="00E15E54">
      <w:pPr>
        <w:pStyle w:val="ListParagraph"/>
        <w:numPr>
          <w:ilvl w:val="0"/>
          <w:numId w:val="6"/>
        </w:numPr>
        <w:spacing w:after="0"/>
        <w:jc w:val="both"/>
        <w:rPr>
          <w:lang w:eastAsia="et-EE"/>
        </w:rPr>
      </w:pPr>
      <w:r w:rsidRPr="008B7F19">
        <w:rPr>
          <w:lang w:eastAsia="et-EE"/>
        </w:rPr>
        <w:t>Omatulu osakaal kogutulust (v.a investeeringutoetused)</w:t>
      </w:r>
    </w:p>
    <w:p w14:paraId="11DBC3AE" w14:textId="77777777" w:rsidR="00E15E54" w:rsidRDefault="00E15E54" w:rsidP="00E15E54">
      <w:pPr>
        <w:pStyle w:val="ListParagraph"/>
        <w:numPr>
          <w:ilvl w:val="0"/>
          <w:numId w:val="6"/>
        </w:numPr>
        <w:spacing w:after="0"/>
        <w:jc w:val="both"/>
        <w:rPr>
          <w:lang w:eastAsia="et-EE"/>
        </w:rPr>
      </w:pPr>
      <w:r w:rsidRPr="00D77D9A">
        <w:rPr>
          <w:lang w:eastAsia="et-EE"/>
        </w:rPr>
        <w:t>Lühiajaliste võlgnevuste kattekordaja</w:t>
      </w:r>
    </w:p>
    <w:p w14:paraId="36EEB4C5" w14:textId="77777777" w:rsidR="00E15E54" w:rsidRPr="009A598B" w:rsidRDefault="00E15E54" w:rsidP="00E15E54">
      <w:pPr>
        <w:pStyle w:val="ListParagraph"/>
        <w:spacing w:after="0"/>
        <w:jc w:val="both"/>
      </w:pPr>
    </w:p>
    <w:p w14:paraId="7E99A9C7" w14:textId="77777777" w:rsidR="00E15E54" w:rsidRDefault="00E15E54" w:rsidP="00E15E54">
      <w:pPr>
        <w:jc w:val="both"/>
      </w:pPr>
      <w:r w:rsidRPr="009A598B">
        <w:t xml:space="preserve">Strateegiliste valdkondlike eesmärkide saavutamist ja tegevuse jätkusuutlikkust peavad toetama järgmised finantseesmärgid ja </w:t>
      </w:r>
      <w:r>
        <w:t>-</w:t>
      </w:r>
      <w:r w:rsidRPr="009A598B">
        <w:t>põhimõtted:</w:t>
      </w:r>
    </w:p>
    <w:p w14:paraId="68132AAE" w14:textId="77777777" w:rsidR="00E15E54" w:rsidRPr="009A598B" w:rsidRDefault="00E15E54" w:rsidP="00E15E54">
      <w:pPr>
        <w:pStyle w:val="ListParagraph"/>
        <w:numPr>
          <w:ilvl w:val="0"/>
          <w:numId w:val="5"/>
        </w:numPr>
      </w:pPr>
      <w:r w:rsidRPr="009A598B">
        <w:rPr>
          <w:b/>
          <w:bCs/>
        </w:rPr>
        <w:t>Efektiivsus ja jätkusuutlikkus</w:t>
      </w:r>
      <w:r w:rsidRPr="009A598B">
        <w:t>:</w:t>
      </w:r>
    </w:p>
    <w:p w14:paraId="42594AEC" w14:textId="77777777" w:rsidR="00E15E54" w:rsidRPr="009A598B" w:rsidRDefault="00E15E54" w:rsidP="00E15E54">
      <w:pPr>
        <w:pStyle w:val="ListParagraph"/>
        <w:numPr>
          <w:ilvl w:val="1"/>
          <w:numId w:val="5"/>
        </w:numPr>
      </w:pPr>
      <w:r w:rsidRPr="009A598B">
        <w:t xml:space="preserve">majandustegevus peab toimuma ressursisäästlikult; </w:t>
      </w:r>
    </w:p>
    <w:p w14:paraId="769C2748" w14:textId="77777777" w:rsidR="00E15E54" w:rsidRPr="009A598B" w:rsidRDefault="00E15E54" w:rsidP="00E15E54">
      <w:pPr>
        <w:pStyle w:val="ListParagraph"/>
        <w:numPr>
          <w:ilvl w:val="1"/>
          <w:numId w:val="5"/>
        </w:numPr>
      </w:pPr>
      <w:proofErr w:type="spellStart"/>
      <w:r w:rsidRPr="009A598B">
        <w:t>keskpikas</w:t>
      </w:r>
      <w:proofErr w:type="spellEnd"/>
      <w:r w:rsidRPr="009A598B">
        <w:t xml:space="preserve"> ajahorisondis (3–5 a) ei tohi kulude kasv (ilma amortisatsioonita) ületada tulude kasvu</w:t>
      </w:r>
      <w:r>
        <w:t>.</w:t>
      </w:r>
    </w:p>
    <w:p w14:paraId="5F9BF668" w14:textId="77777777" w:rsidR="00E15E54" w:rsidRPr="009A598B" w:rsidRDefault="00E15E54" w:rsidP="00E15E54">
      <w:pPr>
        <w:pStyle w:val="ListParagraph"/>
        <w:numPr>
          <w:ilvl w:val="0"/>
          <w:numId w:val="5"/>
        </w:numPr>
      </w:pPr>
      <w:r w:rsidRPr="009A598B">
        <w:rPr>
          <w:b/>
          <w:bCs/>
        </w:rPr>
        <w:t>Investeerimispoliitika</w:t>
      </w:r>
      <w:r w:rsidRPr="009A598B">
        <w:t xml:space="preserve">: </w:t>
      </w:r>
    </w:p>
    <w:p w14:paraId="7D48DA5B" w14:textId="77777777" w:rsidR="00E15E54" w:rsidRPr="009A598B" w:rsidRDefault="00E15E54" w:rsidP="00E15E54">
      <w:pPr>
        <w:pStyle w:val="ListParagraph"/>
        <w:numPr>
          <w:ilvl w:val="1"/>
          <w:numId w:val="5"/>
        </w:numPr>
      </w:pPr>
      <w:r w:rsidRPr="009A598B">
        <w:t xml:space="preserve">investeeringuid tehakse lähtuvalt nõukogu otsusest ning need kaetakse üldjuhul sihtasutuse omatulust ja </w:t>
      </w:r>
      <w:proofErr w:type="spellStart"/>
      <w:r w:rsidRPr="009A598B">
        <w:t>välisvahendite</w:t>
      </w:r>
      <w:proofErr w:type="spellEnd"/>
      <w:r w:rsidRPr="009A598B">
        <w:t xml:space="preserve"> abil; </w:t>
      </w:r>
    </w:p>
    <w:p w14:paraId="6EEDC872" w14:textId="77777777" w:rsidR="00E15E54" w:rsidRPr="009A598B" w:rsidRDefault="00E15E54" w:rsidP="00E15E54">
      <w:pPr>
        <w:pStyle w:val="ListParagraph"/>
        <w:numPr>
          <w:ilvl w:val="1"/>
          <w:numId w:val="5"/>
        </w:numPr>
      </w:pPr>
      <w:r w:rsidRPr="009A598B">
        <w:t>kõik plaanitavad investeeringud peavad olema põhjalikult läbi analüüsitud ning kaasnevad riskid tuvastatud ning arvesse võetud;</w:t>
      </w:r>
    </w:p>
    <w:p w14:paraId="332FB321" w14:textId="77777777" w:rsidR="00E15E54" w:rsidRPr="009A598B" w:rsidRDefault="00E15E54" w:rsidP="00E15E54">
      <w:pPr>
        <w:pStyle w:val="ListParagraph"/>
        <w:numPr>
          <w:ilvl w:val="1"/>
          <w:numId w:val="5"/>
        </w:numPr>
      </w:pPr>
      <w:r w:rsidRPr="009A598B">
        <w:t xml:space="preserve">üksikobjektide investeeringuotsuste ettevalmistamisel ja alternatiivide analüüsil lähtutakse põhimõttest, et projekt peab olema jätkusuutlik ja tasuv: st mitte suurendama sihtasutuse püsikulusid määral, mida projekti tulud ei kata; </w:t>
      </w:r>
    </w:p>
    <w:p w14:paraId="47F7BA40" w14:textId="3C6C6563" w:rsidR="00E15E54" w:rsidRPr="009A598B" w:rsidRDefault="00E15E54" w:rsidP="00E15E54">
      <w:pPr>
        <w:pStyle w:val="ListParagraph"/>
        <w:numPr>
          <w:ilvl w:val="1"/>
          <w:numId w:val="5"/>
        </w:numPr>
      </w:pPr>
      <w:r w:rsidRPr="009A598B">
        <w:t xml:space="preserve">uute hoonete ehitamisele eelistatakse </w:t>
      </w:r>
      <w:r w:rsidR="00592D72">
        <w:t xml:space="preserve">võimaluse korral </w:t>
      </w:r>
      <w:r w:rsidRPr="009A598B">
        <w:t>olemasolevate hoonete (eelkõige mälestiste) renoveerimist.</w:t>
      </w:r>
    </w:p>
    <w:p w14:paraId="05B10B1C" w14:textId="32A8F01F" w:rsidR="00E15E54" w:rsidRDefault="00E15E54" w:rsidP="00E15E54">
      <w:pPr>
        <w:pStyle w:val="ListParagraph"/>
        <w:numPr>
          <w:ilvl w:val="0"/>
          <w:numId w:val="5"/>
        </w:numPr>
      </w:pPr>
      <w:r w:rsidRPr="009A598B">
        <w:rPr>
          <w:b/>
          <w:bCs/>
        </w:rPr>
        <w:t xml:space="preserve">Sihtasutuse eelarve kavandamisel lähtuda põhimõttest, et riigi toetust kasutatakse esmajärjekorras Lisas </w:t>
      </w:r>
      <w:r>
        <w:rPr>
          <w:b/>
          <w:bCs/>
        </w:rPr>
        <w:t>1</w:t>
      </w:r>
      <w:r w:rsidRPr="009A598B">
        <w:rPr>
          <w:b/>
          <w:bCs/>
        </w:rPr>
        <w:t xml:space="preserve"> loetletud baasteenuste osutamiseks</w:t>
      </w:r>
      <w:r w:rsidRPr="009A598B">
        <w:rPr>
          <w:rStyle w:val="FootnoteReference"/>
          <w:b/>
          <w:bCs/>
        </w:rPr>
        <w:footnoteReference w:id="2"/>
      </w:r>
      <w:r w:rsidRPr="009A598B">
        <w:rPr>
          <w:b/>
          <w:bCs/>
        </w:rPr>
        <w:t xml:space="preserve"> ja asutaja</w:t>
      </w:r>
      <w:r w:rsidR="00CE20E3">
        <w:rPr>
          <w:b/>
          <w:bCs/>
        </w:rPr>
        <w:t>te</w:t>
      </w:r>
      <w:r w:rsidRPr="009A598B">
        <w:rPr>
          <w:b/>
          <w:bCs/>
        </w:rPr>
        <w:t xml:space="preserve"> ootuste dokumendis nimetatud strateegiliste valdkondlike eesmärkide saavutamiseks. </w:t>
      </w:r>
      <w:r>
        <w:t>Lisa</w:t>
      </w:r>
      <w:r w:rsidRPr="009A598B">
        <w:t xml:space="preserve">teenused on teenused, mille osutamine ei ole sihtasutuse põhitegevus. St et sihtasutus võib, aga ei pea neid pakkuma. Vastavalt muuseumiseadusele ei tohi need teenused (§ 20 lg 2) takistada põhiülesannete täitmist, peavad olema minimaalselt isetasuvad (soovituslikult kasumlikud) ning nende osutamise </w:t>
      </w:r>
      <w:r>
        <w:t xml:space="preserve">otsesteks </w:t>
      </w:r>
      <w:r w:rsidRPr="009A598B">
        <w:t xml:space="preserve">kuludeks ei või kasutada riigi tegevustoetust. </w:t>
      </w:r>
    </w:p>
    <w:p w14:paraId="7403ED30" w14:textId="77777777" w:rsidR="00E15E54" w:rsidRDefault="00E15E54" w:rsidP="00E15E54">
      <w:pPr>
        <w:pStyle w:val="ListParagraph"/>
        <w:ind w:left="360"/>
      </w:pPr>
    </w:p>
    <w:p w14:paraId="55AF373B" w14:textId="77777777" w:rsidR="00E15E54" w:rsidRDefault="00E15E54" w:rsidP="00E15E54">
      <w:pPr>
        <w:pStyle w:val="ListParagraph"/>
        <w:numPr>
          <w:ilvl w:val="0"/>
          <w:numId w:val="1"/>
        </w:numPr>
        <w:rPr>
          <w:b/>
          <w:bCs/>
          <w:color w:val="4472C4" w:themeColor="accent1"/>
        </w:rPr>
      </w:pPr>
      <w:r w:rsidRPr="001A0925">
        <w:rPr>
          <w:b/>
          <w:bCs/>
          <w:color w:val="4472C4" w:themeColor="accent1"/>
        </w:rPr>
        <w:lastRenderedPageBreak/>
        <w:t>Juhtimiskvaliteedi eesmärgid</w:t>
      </w:r>
    </w:p>
    <w:p w14:paraId="3DE6C8BF" w14:textId="77777777" w:rsidR="00E15E54" w:rsidRDefault="00E15E54" w:rsidP="00E15E54">
      <w:pPr>
        <w:pStyle w:val="ListParagraph"/>
        <w:ind w:left="360"/>
        <w:rPr>
          <w:b/>
          <w:bCs/>
          <w:color w:val="4472C4" w:themeColor="accent1"/>
        </w:rPr>
      </w:pPr>
    </w:p>
    <w:p w14:paraId="59B019F5" w14:textId="2E97A4E6" w:rsidR="00E15E54" w:rsidRDefault="00E15E54" w:rsidP="00E15E54">
      <w:pPr>
        <w:pStyle w:val="ListParagraph"/>
        <w:numPr>
          <w:ilvl w:val="1"/>
          <w:numId w:val="7"/>
        </w:numPr>
        <w:jc w:val="both"/>
        <w:rPr>
          <w:rFonts w:cstheme="minorHAnsi"/>
        </w:rPr>
      </w:pPr>
      <w:r w:rsidRPr="00311263">
        <w:rPr>
          <w:rFonts w:cstheme="minorHAnsi"/>
        </w:rPr>
        <w:t xml:space="preserve">Sihtasutus rakendab sobivat </w:t>
      </w:r>
      <w:r w:rsidRPr="00311263">
        <w:rPr>
          <w:rFonts w:cstheme="minorHAnsi"/>
          <w:b/>
          <w:bCs/>
        </w:rPr>
        <w:t>juhtimissüsteemi</w:t>
      </w:r>
      <w:r w:rsidRPr="00311263">
        <w:rPr>
          <w:rFonts w:cstheme="minorHAnsi"/>
        </w:rPr>
        <w:t xml:space="preserve"> ja </w:t>
      </w:r>
      <w:r w:rsidRPr="00311263">
        <w:rPr>
          <w:rFonts w:cstheme="minorHAnsi"/>
          <w:b/>
          <w:bCs/>
        </w:rPr>
        <w:t>hindab</w:t>
      </w:r>
      <w:r w:rsidRPr="00311263">
        <w:rPr>
          <w:rFonts w:cstheme="minorHAnsi"/>
        </w:rPr>
        <w:t xml:space="preserve"> regulaarselt selle toimimist (nt ISO standard 9001, CAF-mudel, hindamine siseauditite abil jmt).</w:t>
      </w:r>
    </w:p>
    <w:p w14:paraId="0A9DE0E7" w14:textId="77777777" w:rsidR="00C54D00" w:rsidRDefault="00C54D00" w:rsidP="00C54D00">
      <w:pPr>
        <w:pStyle w:val="ListParagraph"/>
        <w:ind w:left="360"/>
        <w:jc w:val="both"/>
        <w:rPr>
          <w:rFonts w:cstheme="minorHAnsi"/>
        </w:rPr>
      </w:pPr>
    </w:p>
    <w:p w14:paraId="4B42D22D" w14:textId="77777777" w:rsidR="00C54D00" w:rsidRDefault="00C54D00" w:rsidP="00C54D00">
      <w:pPr>
        <w:pStyle w:val="ListParagraph"/>
        <w:numPr>
          <w:ilvl w:val="1"/>
          <w:numId w:val="7"/>
        </w:numPr>
        <w:spacing w:line="256" w:lineRule="auto"/>
        <w:jc w:val="both"/>
        <w:rPr>
          <w:rFonts w:cstheme="minorHAnsi"/>
        </w:rPr>
      </w:pPr>
      <w:r>
        <w:rPr>
          <w:rFonts w:cstheme="minorHAnsi"/>
        </w:rPr>
        <w:t>Sihtasutus lähtub andmete töötlemisel ning infosüsteemide pidamisel, kasutamisel ja arendamisel avaliku sektori infoturbe nõuetest ning Kultuuriministeeriumi haldusala IKT teenuste korraldamise põhimõtetest.</w:t>
      </w:r>
    </w:p>
    <w:p w14:paraId="6D3E5604" w14:textId="1D88B547" w:rsidR="00E15E54" w:rsidRPr="00C54D00" w:rsidRDefault="00C54D00" w:rsidP="00C54D00">
      <w:pPr>
        <w:jc w:val="both"/>
        <w:rPr>
          <w:rFonts w:cstheme="minorHAnsi"/>
        </w:rPr>
      </w:pPr>
      <w:r>
        <w:rPr>
          <w:rFonts w:cstheme="minorHAnsi"/>
        </w:rPr>
        <w:t xml:space="preserve">3. </w:t>
      </w:r>
      <w:r w:rsidR="00E15E54" w:rsidRPr="00C54D00">
        <w:rPr>
          <w:rFonts w:cstheme="minorHAnsi"/>
        </w:rPr>
        <w:t>Selleks toimub muu hulgas:</w:t>
      </w:r>
    </w:p>
    <w:p w14:paraId="0B76CE11" w14:textId="262E54BF" w:rsidR="00E15E54" w:rsidRPr="00C54D00" w:rsidRDefault="00C54D00" w:rsidP="00C54D00">
      <w:pPr>
        <w:spacing w:after="0"/>
        <w:jc w:val="both"/>
        <w:rPr>
          <w:rFonts w:cstheme="minorHAnsi"/>
        </w:rPr>
      </w:pPr>
      <w:r w:rsidRPr="00C54D00">
        <w:rPr>
          <w:rFonts w:cstheme="minorHAnsi"/>
        </w:rPr>
        <w:t xml:space="preserve">3.1. </w:t>
      </w:r>
      <w:r w:rsidR="00E15E54" w:rsidRPr="00C54D00">
        <w:rPr>
          <w:rFonts w:cstheme="minorHAnsi"/>
        </w:rPr>
        <w:t xml:space="preserve">kord aastas </w:t>
      </w:r>
      <w:r w:rsidR="00E15E54" w:rsidRPr="00C54D00">
        <w:rPr>
          <w:rFonts w:cstheme="minorHAnsi"/>
          <w:b/>
          <w:bCs/>
        </w:rPr>
        <w:t xml:space="preserve">nõukogu esimehe </w:t>
      </w:r>
      <w:r>
        <w:rPr>
          <w:rFonts w:cstheme="minorHAnsi"/>
          <w:b/>
          <w:bCs/>
        </w:rPr>
        <w:t>koostöö</w:t>
      </w:r>
      <w:r w:rsidRPr="00C54D00">
        <w:rPr>
          <w:rFonts w:cstheme="minorHAnsi"/>
          <w:b/>
          <w:bCs/>
        </w:rPr>
        <w:t>vestlus</w:t>
      </w:r>
      <w:r w:rsidRPr="00C54D00">
        <w:rPr>
          <w:rFonts w:cstheme="minorHAnsi"/>
        </w:rPr>
        <w:t xml:space="preserve"> </w:t>
      </w:r>
      <w:r w:rsidR="00E15E54" w:rsidRPr="00C54D00">
        <w:rPr>
          <w:rFonts w:cstheme="minorHAnsi"/>
        </w:rPr>
        <w:t>juhatuse liikmega;</w:t>
      </w:r>
    </w:p>
    <w:p w14:paraId="67CC2A54" w14:textId="550F9C45" w:rsidR="00E15E54" w:rsidRPr="00C54D00" w:rsidRDefault="00C54D00" w:rsidP="00C54D00">
      <w:pPr>
        <w:spacing w:after="0"/>
        <w:jc w:val="both"/>
        <w:rPr>
          <w:rFonts w:cstheme="minorHAnsi"/>
        </w:rPr>
      </w:pPr>
      <w:r>
        <w:rPr>
          <w:rFonts w:cstheme="minorHAnsi"/>
        </w:rPr>
        <w:t xml:space="preserve">3.2. </w:t>
      </w:r>
      <w:r w:rsidR="00E15E54" w:rsidRPr="00C54D00">
        <w:rPr>
          <w:rFonts w:cstheme="minorHAnsi"/>
        </w:rPr>
        <w:t>kord</w:t>
      </w:r>
      <w:r w:rsidR="00E15E54">
        <w:t xml:space="preserve"> aastas </w:t>
      </w:r>
      <w:r w:rsidR="00E15E54" w:rsidRPr="00C54D00">
        <w:rPr>
          <w:b/>
          <w:bCs/>
        </w:rPr>
        <w:t>nõukogude liikmete enesehindamine</w:t>
      </w:r>
      <w:r w:rsidR="00E15E54">
        <w:t xml:space="preserve"> ja </w:t>
      </w:r>
      <w:r w:rsidR="00E15E54" w:rsidRPr="00C54D00">
        <w:rPr>
          <w:b/>
          <w:bCs/>
        </w:rPr>
        <w:t>juhatuse liige annab tagasisidet nõukogu liikmete tööle</w:t>
      </w:r>
      <w:r w:rsidR="00E15E54">
        <w:t>.</w:t>
      </w:r>
    </w:p>
    <w:p w14:paraId="1E80D5A6" w14:textId="77777777" w:rsidR="00E15E54" w:rsidRPr="00311263" w:rsidRDefault="00E15E54" w:rsidP="00E15E54">
      <w:pPr>
        <w:pStyle w:val="ListParagraph"/>
        <w:spacing w:after="0"/>
        <w:ind w:left="360"/>
        <w:jc w:val="both"/>
        <w:rPr>
          <w:rFonts w:cstheme="minorHAnsi"/>
        </w:rPr>
      </w:pPr>
    </w:p>
    <w:p w14:paraId="4F9101D1" w14:textId="5522780A" w:rsidR="00E15E54" w:rsidRPr="009A598B" w:rsidRDefault="00C54D00" w:rsidP="00C54D00">
      <w:pPr>
        <w:jc w:val="both"/>
      </w:pPr>
      <w:r>
        <w:rPr>
          <w:rFonts w:cstheme="minorHAnsi"/>
        </w:rPr>
        <w:t xml:space="preserve">4. </w:t>
      </w:r>
      <w:r w:rsidR="00E15E54" w:rsidRPr="00C54D00">
        <w:rPr>
          <w:rFonts w:cstheme="minorHAnsi"/>
        </w:rPr>
        <w:t>Juhatuse liikmele tulemustasu maksmine on seotud asutaja ootuste täitmisega.</w:t>
      </w:r>
    </w:p>
    <w:p w14:paraId="51745ECD" w14:textId="77777777" w:rsidR="00E15E54" w:rsidRPr="009A598B" w:rsidRDefault="00E15E54" w:rsidP="00E15E54">
      <w:pPr>
        <w:spacing w:after="0"/>
        <w:jc w:val="both"/>
      </w:pPr>
    </w:p>
    <w:sectPr w:rsidR="00E15E54" w:rsidRPr="009A5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E8D8" w14:textId="77777777" w:rsidR="001B7C6E" w:rsidRDefault="001B7C6E" w:rsidP="00E15E54">
      <w:pPr>
        <w:spacing w:after="0" w:line="240" w:lineRule="auto"/>
      </w:pPr>
      <w:r>
        <w:separator/>
      </w:r>
    </w:p>
  </w:endnote>
  <w:endnote w:type="continuationSeparator" w:id="0">
    <w:p w14:paraId="47594C95" w14:textId="77777777" w:rsidR="001B7C6E" w:rsidRDefault="001B7C6E" w:rsidP="00E1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1884" w14:textId="77777777" w:rsidR="001B7C6E" w:rsidRDefault="001B7C6E" w:rsidP="00E15E54">
      <w:pPr>
        <w:spacing w:after="0" w:line="240" w:lineRule="auto"/>
      </w:pPr>
      <w:r>
        <w:separator/>
      </w:r>
    </w:p>
  </w:footnote>
  <w:footnote w:type="continuationSeparator" w:id="0">
    <w:p w14:paraId="39DE057C" w14:textId="77777777" w:rsidR="001B7C6E" w:rsidRDefault="001B7C6E" w:rsidP="00E15E54">
      <w:pPr>
        <w:spacing w:after="0" w:line="240" w:lineRule="auto"/>
      </w:pPr>
      <w:r>
        <w:continuationSeparator/>
      </w:r>
    </w:p>
  </w:footnote>
  <w:footnote w:id="1">
    <w:p w14:paraId="08FF97D4" w14:textId="77777777" w:rsidR="00E15E54" w:rsidRDefault="00E15E54" w:rsidP="00E15E54">
      <w:pPr>
        <w:pStyle w:val="FootnoteText"/>
      </w:pPr>
      <w:r>
        <w:rPr>
          <w:rStyle w:val="FootnoteReference"/>
        </w:rPr>
        <w:footnoteRef/>
      </w:r>
      <w:r>
        <w:t xml:space="preserve"> Vt kõigi indikaatorite metoodikat ning baas- ja sihttasemeid lisas 1</w:t>
      </w:r>
    </w:p>
  </w:footnote>
  <w:footnote w:id="2">
    <w:p w14:paraId="50705EE1" w14:textId="77777777" w:rsidR="00E15E54" w:rsidRDefault="00E15E54" w:rsidP="00E15E54">
      <w:pPr>
        <w:pStyle w:val="FootnoteText"/>
      </w:pPr>
      <w:r>
        <w:rPr>
          <w:rStyle w:val="FootnoteReference"/>
        </w:rPr>
        <w:footnoteRef/>
      </w:r>
      <w:r>
        <w:t xml:space="preserve"> </w:t>
      </w:r>
      <w:r>
        <w:t>Vt lisa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E2C"/>
    <w:multiLevelType w:val="hybridMultilevel"/>
    <w:tmpl w:val="5C9063C4"/>
    <w:lvl w:ilvl="0" w:tplc="04250011">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DC77E7"/>
    <w:multiLevelType w:val="hybridMultilevel"/>
    <w:tmpl w:val="5C9063C4"/>
    <w:lvl w:ilvl="0" w:tplc="04250011">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AF270B"/>
    <w:multiLevelType w:val="multilevel"/>
    <w:tmpl w:val="FE966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7BF0"/>
    <w:multiLevelType w:val="multilevel"/>
    <w:tmpl w:val="08E238E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HAnsi"/>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A837F87"/>
    <w:multiLevelType w:val="hybridMultilevel"/>
    <w:tmpl w:val="0EECC2E0"/>
    <w:lvl w:ilvl="0" w:tplc="C714C6BE">
      <w:start w:val="1"/>
      <w:numFmt w:val="decimal"/>
      <w:lvlText w:val="%1."/>
      <w:lvlJc w:val="left"/>
      <w:pPr>
        <w:ind w:left="360" w:hanging="360"/>
      </w:pPr>
      <w:rPr>
        <w:rFonts w:hint="default"/>
        <w:b/>
        <w:bCs/>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63D4D62"/>
    <w:multiLevelType w:val="hybridMultilevel"/>
    <w:tmpl w:val="EED4BCCC"/>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5665798"/>
    <w:multiLevelType w:val="multilevel"/>
    <w:tmpl w:val="302C5138"/>
    <w:lvl w:ilvl="0">
      <w:start w:val="1"/>
      <w:numFmt w:val="decimal"/>
      <w:lvlText w:val="%1."/>
      <w:lvlJc w:val="left"/>
      <w:pPr>
        <w:ind w:left="360" w:hanging="360"/>
      </w:pPr>
      <w:rPr>
        <w:rFonts w:ascii="Calibri" w:eastAsia="Times New Roman" w:hAnsi="Calibri" w:cs="Calibri" w:hint="default"/>
        <w:b/>
        <w:bCs/>
        <w:color w:val="000000"/>
      </w:rPr>
    </w:lvl>
    <w:lvl w:ilvl="1">
      <w:start w:val="1"/>
      <w:numFmt w:val="decimal"/>
      <w:lvlText w:val="%1.%2."/>
      <w:lvlJc w:val="left"/>
      <w:pPr>
        <w:ind w:left="360" w:hanging="360"/>
      </w:pPr>
      <w:rPr>
        <w:rFonts w:ascii="Calibri" w:eastAsia="Times New Roman" w:hAnsi="Calibri" w:cs="Calibri" w:hint="default"/>
        <w:b w:val="0"/>
        <w:bCs w:val="0"/>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720" w:hanging="72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080" w:hanging="108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440" w:hanging="144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7" w15:restartNumberingAfterBreak="0">
    <w:nsid w:val="6B74224C"/>
    <w:multiLevelType w:val="hybridMultilevel"/>
    <w:tmpl w:val="A8346D9C"/>
    <w:lvl w:ilvl="0" w:tplc="7A2A0110">
      <w:start w:val="1"/>
      <w:numFmt w:val="bullet"/>
      <w:lvlText w:val=""/>
      <w:lvlJc w:val="left"/>
      <w:pPr>
        <w:ind w:left="360" w:hanging="360"/>
      </w:pPr>
      <w:rPr>
        <w:rFonts w:ascii="Wingdings" w:hAnsi="Wingdings" w:hint="default"/>
        <w:color w:val="4472C4" w:themeColor="accent1"/>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16cid:durableId="666595838">
    <w:abstractNumId w:val="7"/>
  </w:num>
  <w:num w:numId="2" w16cid:durableId="652490871">
    <w:abstractNumId w:val="5"/>
  </w:num>
  <w:num w:numId="3" w16cid:durableId="1239633013">
    <w:abstractNumId w:val="1"/>
  </w:num>
  <w:num w:numId="4" w16cid:durableId="797987103">
    <w:abstractNumId w:val="6"/>
  </w:num>
  <w:num w:numId="5" w16cid:durableId="1948543296">
    <w:abstractNumId w:val="4"/>
  </w:num>
  <w:num w:numId="6" w16cid:durableId="500006690">
    <w:abstractNumId w:val="0"/>
  </w:num>
  <w:num w:numId="7" w16cid:durableId="1206798856">
    <w:abstractNumId w:val="3"/>
  </w:num>
  <w:num w:numId="8" w16cid:durableId="1970434405">
    <w:abstractNumId w:val="2"/>
  </w:num>
  <w:num w:numId="9" w16cid:durableId="1742556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4"/>
    <w:rsid w:val="00007F65"/>
    <w:rsid w:val="000167B1"/>
    <w:rsid w:val="000506EA"/>
    <w:rsid w:val="00053C7A"/>
    <w:rsid w:val="0006194F"/>
    <w:rsid w:val="00195570"/>
    <w:rsid w:val="001B7C6E"/>
    <w:rsid w:val="002251EE"/>
    <w:rsid w:val="0024388F"/>
    <w:rsid w:val="002F105B"/>
    <w:rsid w:val="00346BD6"/>
    <w:rsid w:val="003832D2"/>
    <w:rsid w:val="004A41CC"/>
    <w:rsid w:val="004B6394"/>
    <w:rsid w:val="004E7917"/>
    <w:rsid w:val="005054DF"/>
    <w:rsid w:val="00550071"/>
    <w:rsid w:val="00592D72"/>
    <w:rsid w:val="005F4379"/>
    <w:rsid w:val="00685F96"/>
    <w:rsid w:val="006A0D75"/>
    <w:rsid w:val="006C7962"/>
    <w:rsid w:val="006E2332"/>
    <w:rsid w:val="007B1AEE"/>
    <w:rsid w:val="007D7C0F"/>
    <w:rsid w:val="007F0173"/>
    <w:rsid w:val="00824166"/>
    <w:rsid w:val="008D1B32"/>
    <w:rsid w:val="00916219"/>
    <w:rsid w:val="009B2E8E"/>
    <w:rsid w:val="009C26F1"/>
    <w:rsid w:val="009C559B"/>
    <w:rsid w:val="00A01BDA"/>
    <w:rsid w:val="00A96573"/>
    <w:rsid w:val="00B151ED"/>
    <w:rsid w:val="00B20587"/>
    <w:rsid w:val="00B751AF"/>
    <w:rsid w:val="00B97D76"/>
    <w:rsid w:val="00C22770"/>
    <w:rsid w:val="00C54D00"/>
    <w:rsid w:val="00C6192C"/>
    <w:rsid w:val="00CE20E3"/>
    <w:rsid w:val="00D41791"/>
    <w:rsid w:val="00D62522"/>
    <w:rsid w:val="00D91E24"/>
    <w:rsid w:val="00E15E54"/>
    <w:rsid w:val="00E311F0"/>
    <w:rsid w:val="00E610E8"/>
    <w:rsid w:val="00E902A1"/>
    <w:rsid w:val="00F37CB0"/>
    <w:rsid w:val="00F711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6E20"/>
  <w15:chartTrackingRefBased/>
  <w15:docId w15:val="{820FA5A2-A791-41F7-9512-43D1341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54"/>
    <w:pPr>
      <w:ind w:left="720"/>
      <w:contextualSpacing/>
    </w:pPr>
  </w:style>
  <w:style w:type="paragraph" w:styleId="FootnoteText">
    <w:name w:val="footnote text"/>
    <w:basedOn w:val="Normal"/>
    <w:link w:val="FootnoteTextChar"/>
    <w:uiPriority w:val="99"/>
    <w:semiHidden/>
    <w:unhideWhenUsed/>
    <w:rsid w:val="00E1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54"/>
    <w:rPr>
      <w:sz w:val="20"/>
      <w:szCs w:val="20"/>
    </w:rPr>
  </w:style>
  <w:style w:type="character" w:styleId="FootnoteReference">
    <w:name w:val="footnote reference"/>
    <w:basedOn w:val="DefaultParagraphFont"/>
    <w:uiPriority w:val="99"/>
    <w:semiHidden/>
    <w:unhideWhenUsed/>
    <w:rsid w:val="00E15E54"/>
    <w:rPr>
      <w:vertAlign w:val="superscript"/>
    </w:rPr>
  </w:style>
  <w:style w:type="paragraph" w:styleId="Revision">
    <w:name w:val="Revision"/>
    <w:hidden/>
    <w:uiPriority w:val="99"/>
    <w:semiHidden/>
    <w:rsid w:val="00D91E24"/>
    <w:pPr>
      <w:spacing w:after="0" w:line="240" w:lineRule="auto"/>
    </w:pPr>
  </w:style>
  <w:style w:type="character" w:styleId="CommentReference">
    <w:name w:val="annotation reference"/>
    <w:basedOn w:val="DefaultParagraphFont"/>
    <w:uiPriority w:val="99"/>
    <w:semiHidden/>
    <w:unhideWhenUsed/>
    <w:rsid w:val="00D91E24"/>
    <w:rPr>
      <w:sz w:val="16"/>
      <w:szCs w:val="16"/>
    </w:rPr>
  </w:style>
  <w:style w:type="paragraph" w:styleId="CommentText">
    <w:name w:val="annotation text"/>
    <w:basedOn w:val="Normal"/>
    <w:link w:val="CommentTextChar"/>
    <w:uiPriority w:val="99"/>
    <w:unhideWhenUsed/>
    <w:rsid w:val="00D91E24"/>
    <w:pPr>
      <w:spacing w:line="240" w:lineRule="auto"/>
    </w:pPr>
    <w:rPr>
      <w:sz w:val="20"/>
      <w:szCs w:val="20"/>
    </w:rPr>
  </w:style>
  <w:style w:type="character" w:customStyle="1" w:styleId="CommentTextChar">
    <w:name w:val="Comment Text Char"/>
    <w:basedOn w:val="DefaultParagraphFont"/>
    <w:link w:val="CommentText"/>
    <w:uiPriority w:val="99"/>
    <w:rsid w:val="00D91E24"/>
    <w:rPr>
      <w:sz w:val="20"/>
      <w:szCs w:val="20"/>
    </w:rPr>
  </w:style>
  <w:style w:type="paragraph" w:styleId="CommentSubject">
    <w:name w:val="annotation subject"/>
    <w:basedOn w:val="CommentText"/>
    <w:next w:val="CommentText"/>
    <w:link w:val="CommentSubjectChar"/>
    <w:uiPriority w:val="99"/>
    <w:semiHidden/>
    <w:unhideWhenUsed/>
    <w:rsid w:val="00D91E24"/>
    <w:rPr>
      <w:b/>
      <w:bCs/>
    </w:rPr>
  </w:style>
  <w:style w:type="character" w:customStyle="1" w:styleId="CommentSubjectChar">
    <w:name w:val="Comment Subject Char"/>
    <w:basedOn w:val="CommentTextChar"/>
    <w:link w:val="CommentSubject"/>
    <w:uiPriority w:val="99"/>
    <w:semiHidden/>
    <w:rsid w:val="00D91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1103</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Reismaa</dc:creator>
  <cp:keywords/>
  <dc:description/>
  <cp:lastModifiedBy>Sten Svetljakov</cp:lastModifiedBy>
  <cp:revision>16</cp:revision>
  <dcterms:created xsi:type="dcterms:W3CDTF">2022-11-07T15:03:00Z</dcterms:created>
  <dcterms:modified xsi:type="dcterms:W3CDTF">2022-11-23T10:48:00Z</dcterms:modified>
</cp:coreProperties>
</file>